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36"/>
          <w:szCs w:val="3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Situació d’aprenentatge</w:t>
      </w:r>
      <w:r w:rsidDel="00000000" w:rsidR="00000000" w:rsidRPr="00000000">
        <w:rPr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45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11100"/>
        <w:tblGridChange w:id="0">
          <w:tblGrid>
            <w:gridCol w:w="2745"/>
            <w:gridCol w:w="11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 (Nivell educatiu)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Àrea / Matèria</w:t>
            </w:r>
            <w:r w:rsidDel="00000000" w:rsidR="00000000" w:rsidRPr="00000000">
              <w:rPr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Àmbit</w:t>
            </w:r>
            <w:r w:rsidDel="00000000" w:rsidR="00000000" w:rsidRPr="00000000">
              <w:rPr>
                <w:sz w:val="24"/>
                <w:szCs w:val="24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 (Context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+ Repte</w:t>
      </w:r>
      <w:r w:rsidDel="00000000" w:rsidR="00000000" w:rsidRPr="00000000">
        <w:rPr>
          <w:b w:val="1"/>
          <w:vertAlign w:val="superscript"/>
        </w:rPr>
        <w:footnoteReference w:customMarkFollows="0" w:id="4"/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B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Per què aquesta situació d’aprenentatge? Està relacionada amb alguna altra? Quin és el context? Quin repte planteja?</w:t>
      </w:r>
    </w:p>
    <w:p w:rsidR="00000000" w:rsidDel="00000000" w:rsidP="00000000" w:rsidRDefault="00000000" w:rsidRPr="00000000" w14:paraId="0000001C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8"/>
        <w:tblGridChange w:id="0">
          <w:tblGrid>
            <w:gridCol w:w="139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COMPETÈNCIES ESPECÍFIQUES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Amb la realització d’aquesta situació d’aprenentatge s’afavoreix l’assoliment de les competències específiques següents:</w:t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gridCol w:w="4545"/>
        <w:tblGridChange w:id="0">
          <w:tblGrid>
            <w:gridCol w:w="9375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Competències específiques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Àrea</w:t>
              </w:r>
            </w:hyperlink>
            <w:r w:rsidDel="00000000" w:rsidR="00000000" w:rsidRPr="00000000">
              <w:rPr>
                <w:rtl w:val="0"/>
              </w:rPr>
              <w:t xml:space="preserve"> o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matèria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TRACTAMENT DE LES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COMPETÈNCIES TRANSVERSALS</w:t>
        </w:r>
      </w:hyperlink>
      <w:r w:rsidDel="00000000" w:rsidR="00000000" w:rsidRPr="00000000">
        <w:rPr>
          <w:b w:val="1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8"/>
        <w:tblGridChange w:id="0">
          <w:tblGrid>
            <w:gridCol w:w="139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8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6510"/>
        <w:gridCol w:w="465"/>
        <w:gridCol w:w="6450"/>
        <w:tblGridChange w:id="0">
          <w:tblGrid>
            <w:gridCol w:w="420"/>
            <w:gridCol w:w="6510"/>
            <w:gridCol w:w="465"/>
            <w:gridCol w:w="645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OBJECTIUS D’APRENENTATGE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Què volem que aprengui l’alumnat i per a què?</w:t>
            </w:r>
          </w:p>
          <w:p w:rsidR="00000000" w:rsidDel="00000000" w:rsidP="00000000" w:rsidRDefault="00000000" w:rsidRPr="00000000" w14:paraId="0000003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CAPACITAT + SABER + FINALITAT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CRITERIS D’AVALUACIÓ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sabem que ho han après?</w:t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ACCIÓ + SABER + CONTEXT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SABERS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Amb la realització d’aquesta situació d’aprenentatge es tractaran els sabers següents:</w:t>
      </w:r>
    </w:p>
    <w:p w:rsidR="00000000" w:rsidDel="00000000" w:rsidP="00000000" w:rsidRDefault="00000000" w:rsidRPr="00000000" w14:paraId="00000058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8865"/>
        <w:gridCol w:w="4560"/>
        <w:tblGridChange w:id="0">
          <w:tblGrid>
            <w:gridCol w:w="495"/>
            <w:gridCol w:w="886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Àrea</w:t>
              </w:r>
            </w:hyperlink>
            <w:r w:rsidDel="00000000" w:rsidR="00000000" w:rsidRPr="00000000">
              <w:rPr>
                <w:rtl w:val="0"/>
              </w:rPr>
              <w:t xml:space="preserve"> o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matèria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DESENVOLUPAMENT DE LA SITUACIÓ D’APRENENTATGE</w:t>
      </w:r>
    </w:p>
    <w:p w:rsidR="00000000" w:rsidDel="00000000" w:rsidP="00000000" w:rsidRDefault="00000000" w:rsidRPr="00000000" w14:paraId="0000006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Quines són les principals estratègies metodològiques que es preveuen utilitzar? Quins tipus d’agrupament realitzarem? Quins són els principals materials i recursos que necessitarem?, etc.</w:t>
      </w:r>
    </w:p>
    <w:tbl>
      <w:tblPr>
        <w:tblStyle w:val="Table7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8"/>
        <w:tblGridChange w:id="0">
          <w:tblGrid>
            <w:gridCol w:w="13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ACTIVITATS D’APRENENTATGE I D’AVALUACIÓ</w:t>
      </w:r>
    </w:p>
    <w:p w:rsidR="00000000" w:rsidDel="00000000" w:rsidP="00000000" w:rsidRDefault="00000000" w:rsidRPr="00000000" w14:paraId="0000007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9420"/>
        <w:gridCol w:w="2085"/>
        <w:tblGridChange w:id="0">
          <w:tblGrid>
            <w:gridCol w:w="2445"/>
            <w:gridCol w:w="9420"/>
            <w:gridCol w:w="2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 de l’activitat d’aprenentatge i d’avaluació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 inicials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Què en sabem?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 de desenvolupament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Aprenem nous sabers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 d’estructuració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Què hem après?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 d’aplicació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Apliquem el que hem après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BREU DESCRIPCIÓ DE COM S’ABORDEN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ELS VECTORS</w:t>
        </w:r>
      </w:hyperlink>
      <w:r w:rsidDel="00000000" w:rsidR="00000000" w:rsidRPr="00000000">
        <w:rPr>
          <w:b w:val="1"/>
          <w:rtl w:val="0"/>
        </w:rPr>
        <w:t xml:space="preserve"> EN AQUESTA SITUACIÓ D’APRENENTATGE</w:t>
      </w:r>
      <w:r w:rsidDel="00000000" w:rsidR="00000000" w:rsidRPr="00000000">
        <w:rPr>
          <w:b w:val="1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8"/>
        <w:tblGridChange w:id="0">
          <w:tblGrid>
            <w:gridCol w:w="139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MESURES I SUPORTS </w:t>
      </w: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UNIVERSALS</w:t>
        </w:r>
      </w:hyperlink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tbl>
      <w:tblPr>
        <w:tblStyle w:val="Table10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8"/>
        <w:tblGridChange w:id="0">
          <w:tblGrid>
            <w:gridCol w:w="139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MESURES I SUPORTS </w:t>
      </w: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ADDICIONALS</w:t>
        </w:r>
      </w:hyperlink>
      <w:r w:rsidDel="00000000" w:rsidR="00000000" w:rsidRPr="00000000">
        <w:rPr>
          <w:b w:val="1"/>
          <w:vertAlign w:val="superscript"/>
        </w:rPr>
        <w:footnoteReference w:customMarkFollows="0" w:id="10"/>
      </w:r>
      <w:r w:rsidDel="00000000" w:rsidR="00000000" w:rsidRPr="00000000">
        <w:rPr>
          <w:b w:val="1"/>
          <w:rtl w:val="0"/>
        </w:rPr>
        <w:t xml:space="preserve"> O </w:t>
      </w: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INTENSIUS</w:t>
        </w:r>
      </w:hyperlink>
      <w:r w:rsidDel="00000000" w:rsidR="00000000" w:rsidRPr="00000000">
        <w:rPr>
          <w:b w:val="1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>
          <w:b w:val="1"/>
        </w:rPr>
      </w:pPr>
      <w:r w:rsidDel="00000000" w:rsidR="00000000" w:rsidRPr="00000000">
        <w:rPr>
          <w:i w:val="1"/>
          <w:rtl w:val="0"/>
        </w:rPr>
        <w:t xml:space="preserve">Quines mesures o suports addicionals o intensius es proposen per a cadascun dels alumnes següents:</w:t>
      </w:r>
      <w:r w:rsidDel="00000000" w:rsidR="00000000" w:rsidRPr="00000000">
        <w:rPr>
          <w:rtl w:val="0"/>
        </w:rPr>
      </w:r>
    </w:p>
    <w:tbl>
      <w:tblPr>
        <w:tblStyle w:val="Table11"/>
        <w:tblW w:w="13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11625"/>
        <w:tblGridChange w:id="0">
          <w:tblGrid>
            <w:gridCol w:w="2250"/>
            <w:gridCol w:w="11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Alumne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Mesura i suport addicional o intensiu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6" w:type="first"/>
      <w:footerReference r:id="rId17" w:type="default"/>
      <w:footerReference r:id="rId18" w:type="first"/>
      <w:pgSz w:h="11906" w:w="16838" w:orient="landscape"/>
      <w:pgMar w:bottom="1440.0000000000002" w:top="1440.0000000000002" w:left="1440.0000000000002" w:right="1440.000000000000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ageBreakBefore w:val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62000" cy="142875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ageBreakBefore w:val="0"/>
      <w:jc w:val="right"/>
      <w:rPr>
        <w:b w:val="1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Programació d’una situació d’aprenentatge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Pàgina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/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="276" w:lineRule="auto"/>
      <w:jc w:val="right"/>
      <w:rPr/>
    </w:pPr>
    <w:r w:rsidDel="00000000" w:rsidR="00000000" w:rsidRPr="00000000">
      <w:rPr>
        <w:b w:val="1"/>
        <w:rtl w:val="0"/>
      </w:rPr>
      <w:t xml:space="preserve">         </w:t>
    </w:r>
    <w:hyperlink r:id="rId1">
      <w:r w:rsidDel="00000000" w:rsidR="00000000" w:rsidRPr="00000000">
        <w:rPr>
          <w:b w:val="1"/>
          <w:color w:val="1155cc"/>
          <w:u w:val="single"/>
        </w:rPr>
        <mc:AlternateContent>
          <mc:Choice Requires="wpg">
            <w:drawing>
              <wp:inline distB="114300" distT="114300" distL="114300" distR="114300">
                <wp:extent cx="932498" cy="36263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05175" y="771525"/>
                          <a:ext cx="1181100" cy="44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Document de suport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932498" cy="362638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8" cy="3626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hyperlink>
    <w:r w:rsidDel="00000000" w:rsidR="00000000" w:rsidRPr="00000000">
      <w:rPr>
        <w:b w:val="1"/>
        <w:rtl w:val="0"/>
      </w:rPr>
      <w:t xml:space="preserve"> 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71563" cy="37232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372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7">
    <w:p w:rsidR="00000000" w:rsidDel="00000000" w:rsidP="00000000" w:rsidRDefault="00000000" w:rsidRPr="00000000" w14:paraId="000000B5">
      <w:pPr>
        <w:pageBreakBefore w:val="0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Els criteris d'avaluació es poden desplegar en indicadors. Un objectiu d’aprenentatge pot relacionar-se amb un, dos o més criteris d’avaluació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</w:footnote>
  <w:footnote w:id="9">
    <w:p w:rsidR="00000000" w:rsidDel="00000000" w:rsidP="00000000" w:rsidRDefault="00000000" w:rsidRPr="00000000" w14:paraId="000000B6">
      <w:pPr>
        <w:pageBreakBefore w:val="0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Les mesures i els suports universals són els que s’adrecen a tots l’alumnat. Han de permetre flexibilitzar el context d’aprenentatge, proporcionar als alumnes i als docents estratègies per minimitzar les barreres d’accés a l’aprenentatge i a la participació que trobem a l’entorn, i garantir la convivència i el compromís de tota la comunitat educativa.</w:t>
      </w:r>
    </w:p>
  </w:footnote>
  <w:footnote w:id="10">
    <w:p w:rsidR="00000000" w:rsidDel="00000000" w:rsidP="00000000" w:rsidRDefault="00000000" w:rsidRPr="00000000" w14:paraId="000000B7">
      <w:pPr>
        <w:pageBreakBefore w:val="0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Les mesures i els suports addicionals s’adrecen a alguns alumnes. Permeten ajustar la resposta educativa de forma flexible, preventiva i temporal, focalitzant la intervenció educativa en aquells aspectes del procés d’aprenentatge que poden comprometre l’avenç personal i escolar.</w:t>
      </w:r>
    </w:p>
  </w:footnote>
  <w:footnote w:id="11">
    <w:p w:rsidR="00000000" w:rsidDel="00000000" w:rsidP="00000000" w:rsidRDefault="00000000" w:rsidRPr="00000000" w14:paraId="000000B8">
      <w:pPr>
        <w:pageBreakBefore w:val="0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</w:t>
      </w:r>
      <w:r w:rsidDel="00000000" w:rsidR="00000000" w:rsidRPr="00000000">
        <w:rPr>
          <w:sz w:val="18"/>
          <w:szCs w:val="18"/>
          <w:rtl w:val="0"/>
        </w:rPr>
        <w:t xml:space="preserve">es mesures i els suports intensius són específics per als alumnes que presenta necessitats educatives especials, estan adaptats a la seva singularitat i permeten ajustar la resposta educativa de forma extensa, amb una freqüència regular i, amb caràcter general, sense límit temporal.</w:t>
      </w:r>
    </w:p>
  </w:footnote>
  <w:footnote w:id="0">
    <w:p w:rsidR="00000000" w:rsidDel="00000000" w:rsidP="00000000" w:rsidRDefault="00000000" w:rsidRPr="00000000" w14:paraId="000000B9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Són els escenaris que l’alumnat es troba a la vida real i que es poden utilitzar per desenvolupar aprenentatges.Plantegen un context concret, una realitat actual, passada o previsible en el futur, en forma de pregunta o problema, en sentit ampli, que cal comprendre, a la qual cal donar resposta o sobre la qual s’ha d’intervenir. Impliquen un repte que l’alumnat haurà de resoldre. És en resoldre’l que l’alumnat assoleix les competències. </w:t>
      </w:r>
      <w:hyperlink r:id="rId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Annex 5 Aprenentatge basat en situacions</w:t>
        </w:r>
      </w:hyperlink>
      <w:r w:rsidDel="00000000" w:rsidR="00000000" w:rsidRPr="00000000">
        <w:rPr>
          <w:sz w:val="18"/>
          <w:szCs w:val="18"/>
          <w:rtl w:val="0"/>
        </w:rPr>
        <w:t xml:space="preserve">. Són propostes pedagògiques orientades al desenvolupament de les competències.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BA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A l’educació primària fem referència a les àrees i a l’educació secundària obligatòria i el batxillerat a les matèries.</w:t>
      </w:r>
    </w:p>
  </w:footnote>
  <w:footnote w:id="2"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Agrupació d’àrees o matèries que s’imparteixen de manera integrada.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Competència ciutadana, competència emprenedora, competència personal, social i d’aprendre a aprendre i competència digital.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Les competències específiques estan </w:t>
      </w:r>
      <w:r w:rsidDel="00000000" w:rsidR="00000000" w:rsidRPr="00000000">
        <w:rPr>
          <w:sz w:val="18"/>
          <w:szCs w:val="18"/>
          <w:rtl w:val="0"/>
        </w:rPr>
        <w:t xml:space="preserve">formulades</w:t>
      </w:r>
      <w:r w:rsidDel="00000000" w:rsidR="00000000" w:rsidRPr="00000000">
        <w:rPr>
          <w:sz w:val="18"/>
          <w:szCs w:val="18"/>
          <w:rtl w:val="0"/>
        </w:rPr>
        <w:t xml:space="preserve"> de forma general i convé concretar-les per definir quins seran els aprenentatges que s’adquiriran amb la realització de la situació d’aprenentatge. Aquesta concreció ha de permetre formular </w:t>
      </w:r>
      <w:r w:rsidDel="00000000" w:rsidR="00000000" w:rsidRPr="00000000">
        <w:rPr>
          <w:sz w:val="18"/>
          <w:szCs w:val="18"/>
          <w:rtl w:val="0"/>
        </w:rPr>
        <w:t xml:space="preserve">unes competències pròpies de la situació d’aprenentatge que són l’equivalent dels objectius d’aprenentatge.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1/ Aprenentatges competencials. 2/ Perspectiva de gènere. 3/ Universalitat del currículum. 4/ Qualitat de l’educació de les llengües. 5/ Benestar emocional. 6/ Ciutadania democràtica i consciència global.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Conjunt de circumstàncies que envolten i expliquen un esdeveniment, una situació, un individu, un col·lectiu o comunitat, etc.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Reptes: Tema d’interès plantejat per l’alumnat, observació d’un fenomen, polèmica o controvèrsia entorn d’un fet, informació que crida l’atenció a la ciutadania, problemàtica que afecta la societat o l’entorn de l’alumnat, pregunta sobre un element de la realitat, recerca a partir d’un element investigable, necessitat plantejada per un agent extern, dilema que cal comprendre, manifestació artística, etc.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295275</wp:posOffset>
          </wp:positionV>
          <wp:extent cx="2692003" cy="452438"/>
          <wp:effectExtent b="0" l="0" r="0" t="0"/>
          <wp:wrapSquare wrapText="bothSides" distB="114300" distT="114300" distL="114300" distR="114300"/>
          <wp:docPr id="2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2003" cy="4524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rtaldogc.gencat.cat/utilsEADOP/PDF/8762/1928585.pdf#page=194" TargetMode="External"/><Relationship Id="rId10" Type="http://schemas.openxmlformats.org/officeDocument/2006/relationships/hyperlink" Target="https://portaldogc.gencat.cat/utilsEADOP/PDF/8762/1928585.pdf#page=45" TargetMode="External"/><Relationship Id="rId13" Type="http://schemas.openxmlformats.org/officeDocument/2006/relationships/hyperlink" Target="https://xtec.gencat.cat/ca/curriculum/diversitat-i-inclusio/mesures-i-suports/universals/" TargetMode="External"/><Relationship Id="rId12" Type="http://schemas.openxmlformats.org/officeDocument/2006/relationships/hyperlink" Target="https://projectes.xtec.cat/nou-curriculum/educacio-basica/#sis-vecto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ortaldogc.gencat.cat/utilsEADOP/PDF/8762/1928585.pdf#page=453" TargetMode="External"/><Relationship Id="rId15" Type="http://schemas.openxmlformats.org/officeDocument/2006/relationships/hyperlink" Target="https://xtec.gencat.cat/ca/curriculum/diversitat-i-inclusio/mesures-i-suports/intensius/" TargetMode="External"/><Relationship Id="rId14" Type="http://schemas.openxmlformats.org/officeDocument/2006/relationships/hyperlink" Target="https://xtec.gencat.cat/ca/curriculum/diversitat-i-inclusio/mesures-i-suports/addicionals/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2.xml"/><Relationship Id="rId7" Type="http://schemas.openxmlformats.org/officeDocument/2006/relationships/hyperlink" Target="https://portaldogc.gencat.cat/utilsEADOP/PDF/8762/1928585.pdf#page=45" TargetMode="External"/><Relationship Id="rId8" Type="http://schemas.openxmlformats.org/officeDocument/2006/relationships/hyperlink" Target="https://portaldogc.gencat.cat/utilsEADOP/PDF/8762/1928585.pdf#page=194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fqBm7MzRY-QC-GGYyTGN9R67OogPISzftHtvt0Mwmi4/edit?usp=sharing" TargetMode="External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ortaldogc.gencat.cat/utilsEADOP/PDF/8762/1928585.pdf#page=45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